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bidi w:val="0"/>
        <w:rPr>
          <w:rFonts w:hint="eastAsia"/>
          <w:lang w:val="en-US" w:eastAsia="en-US"/>
        </w:rPr>
      </w:pPr>
    </w:p>
    <w:p>
      <w:pPr>
        <w:widowControl/>
        <w:spacing w:before="60" w:after="60"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年上半年绵阳经开区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松垭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民医院</w:t>
      </w:r>
      <w:r>
        <w:rPr>
          <w:rFonts w:hint="eastAsia" w:ascii="黑体" w:hAnsi="黑体" w:eastAsia="黑体" w:cs="黑体"/>
          <w:kern w:val="0"/>
          <w:sz w:val="32"/>
          <w:szCs w:val="32"/>
        </w:rPr>
        <w:t>公开招聘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院聘医务</w:t>
      </w:r>
      <w:r>
        <w:rPr>
          <w:rFonts w:hint="eastAsia" w:ascii="黑体" w:hAnsi="黑体" w:eastAsia="黑体" w:cs="黑体"/>
          <w:kern w:val="0"/>
          <w:sz w:val="32"/>
          <w:szCs w:val="32"/>
        </w:rPr>
        <w:t>人员岗位和条件要求一览表</w:t>
      </w:r>
    </w:p>
    <w:tbl>
      <w:tblPr>
        <w:tblStyle w:val="3"/>
        <w:tblpPr w:leftFromText="180" w:rightFromText="180" w:vertAnchor="page" w:horzAnchor="page" w:tblpX="1382" w:tblpY="3407"/>
        <w:tblOverlap w:val="never"/>
        <w:tblW w:w="139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960"/>
        <w:gridCol w:w="1004"/>
        <w:gridCol w:w="669"/>
        <w:gridCol w:w="1069"/>
        <w:gridCol w:w="1026"/>
        <w:gridCol w:w="1512"/>
        <w:gridCol w:w="1702"/>
        <w:gridCol w:w="2576"/>
        <w:gridCol w:w="1948"/>
        <w:gridCol w:w="4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聘岗位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工作地点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岗位简介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  <w:t>内科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  <w:t>专业技术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5211006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30岁以下（1993年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  <w:t>及以上</w:t>
            </w:r>
          </w:p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</w:rPr>
            </w:pPr>
          </w:p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val="en-US" w:eastAsia="en-US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  <w:t>大专：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临床医学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</w:rPr>
              <w:t>本科：临床医学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0"/>
              </w:rPr>
              <w:t>内科学、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中西医临床医学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  <w:t>绵阳经济技术开发区松垭人民医院第一门诊部</w:t>
            </w:r>
          </w:p>
        </w:tc>
        <w:tc>
          <w:tcPr>
            <w:tcW w:w="25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  <w:t>具体吃苦耐劳的品质，服从工作安排。主要负责校门诊部全部工作和学院传染病、常见病的预防和指导等工作，单位不提供住宿。工作时间与四川电子机械职业学院同步，暑假、寒假等假工作时间与医院工作同步。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同时具有执业医师资格证、全科医师者，年龄可放宽到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  <w:t>40岁，并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从事临床工作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年以上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21"/>
                <w:color w:val="000000"/>
                <w:sz w:val="22"/>
                <w:szCs w:val="21"/>
                <w:lang w:val="en-US" w:eastAsia="en-US" w:bidi="ar-SA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</w:rPr>
              <w:t>护士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21"/>
                <w:color w:val="000000"/>
                <w:sz w:val="22"/>
                <w:szCs w:val="21"/>
                <w:lang w:val="en-US" w:eastAsia="en-US" w:bidi="ar-SA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</w:rPr>
              <w:t>专业技术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21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Style w:val="5"/>
                <w:rFonts w:ascii="仿宋" w:hAnsi="仿宋" w:eastAsia="仿宋"/>
                <w:color w:val="000000"/>
                <w:kern w:val="0"/>
                <w:sz w:val="21"/>
                <w:szCs w:val="21"/>
              </w:rPr>
              <w:t>5411004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30岁以下（1993年3月16日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以后出生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</w:pPr>
            <w:bookmarkStart w:id="0" w:name="_GoBack"/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</w:t>
            </w:r>
            <w:bookmarkEnd w:id="0"/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</w:rPr>
              <w:t>及以上</w:t>
            </w:r>
          </w:p>
          <w:p>
            <w:pPr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Ansi="Calibri"/>
                <w:sz w:val="22"/>
                <w:szCs w:val="22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</w:rPr>
              <w:t>大专：护理学</w:t>
            </w:r>
          </w:p>
          <w:p>
            <w:pPr>
              <w:jc w:val="left"/>
              <w:textAlignment w:val="center"/>
              <w:rPr>
                <w:rFonts w:hint="eastAsia" w:ascii="仿宋_GB2312" w:hAnsi="宋体" w:eastAsia="仿宋_GB2312" w:cs="21"/>
                <w:color w:val="000000"/>
                <w:sz w:val="22"/>
                <w:szCs w:val="21"/>
                <w:lang w:val="en-US" w:eastAsia="en-US" w:bidi="ar-SA"/>
              </w:rPr>
            </w:pPr>
            <w:r>
              <w:rPr>
                <w:rStyle w:val="7"/>
                <w:rFonts w:hint="eastAsia" w:hAnsi="宋体"/>
                <w:sz w:val="22"/>
                <w:szCs w:val="22"/>
              </w:rPr>
              <w:t>本科：护理学</w:t>
            </w:r>
            <w:r>
              <w:rPr>
                <w:rStyle w:val="6"/>
                <w:sz w:val="22"/>
                <w:szCs w:val="22"/>
              </w:rPr>
              <w:t xml:space="preserve">             </w:t>
            </w:r>
            <w:r>
              <w:rPr>
                <w:rStyle w:val="7"/>
                <w:rFonts w:hint="eastAsia" w:hAnsi="宋体"/>
                <w:sz w:val="22"/>
                <w:szCs w:val="22"/>
              </w:rPr>
              <w:t>研究生：护理学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21"/>
                <w:color w:val="000000"/>
                <w:sz w:val="22"/>
                <w:szCs w:val="21"/>
                <w:lang w:val="en-US" w:eastAsia="en-US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  <w:t>绵阳经济技术开发区松垭人民医院第一门诊部</w:t>
            </w:r>
          </w:p>
        </w:tc>
        <w:tc>
          <w:tcPr>
            <w:tcW w:w="2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21"/>
                <w:color w:val="000000"/>
                <w:sz w:val="22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21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具有护士执业资格证，从事护理工作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  <w:t>3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年以上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  <w:lang w:eastAsia="zh-CN"/>
              </w:rPr>
              <w:t>收费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2"/>
                <w:szCs w:val="21"/>
                <w:lang w:eastAsia="zh-CN"/>
              </w:rPr>
              <w:t>工勤人员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24148002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45岁以下（1978年3月16日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以后出生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  <w:t>中专（技）以上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hAnsi="宋体" w:eastAsia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7"/>
                <w:rFonts w:hint="eastAsia" w:hAnsi="宋体" w:eastAsia="仿宋_GB2312"/>
                <w:sz w:val="22"/>
                <w:szCs w:val="22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  <w:t>绵阳经济技术开发区松垭人民医院第一门诊部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7"/>
                <w:rFonts w:hint="eastAsia" w:hAnsi="宋体" w:eastAsia="仿宋_GB2312"/>
                <w:sz w:val="22"/>
                <w:szCs w:val="22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2"/>
                <w:szCs w:val="21"/>
                <w:lang w:eastAsia="zh-CN"/>
              </w:rPr>
              <w:t>具体吃苦耐劳的品德，服从工作安排。主要从事门诊部医疗服务费用收取、医保结算等等工作，单位不提供住宿。户藉为经开区，工作时间与四川电子机械职业学院同步，暑假、寒假等假工作时间与医院工作时间同步。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18"/>
                <w:szCs w:val="16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1"/>
                <w:lang w:eastAsia="zh-CN"/>
              </w:rPr>
              <w:t>熟知财务制度和操作流程；电脑操作熟练，能够熟练掌握收费系统；具备较好的沟通能力以及服务意识，职业稳定性强；品性良好，为人正直，有良好的职业操守。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/>
                <w:sz w:val="18"/>
                <w:szCs w:val="16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linePitch="0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jQyZjEyZjkzM2Y1MTFkOTVjYWFkMDEyOGExZDYifQ=="/>
  </w:docVars>
  <w:rsids>
    <w:rsidRoot w:val="0E0950D0"/>
    <w:rsid w:val="0E0950D0"/>
    <w:rsid w:val="41AE02A4"/>
    <w:rsid w:val="440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  <w:szCs w:val="22"/>
      <w:lang w:eastAsia="en-US"/>
    </w:rPr>
  </w:style>
  <w:style w:type="character" w:customStyle="1" w:styleId="5">
    <w:name w:val="NormalCharacter"/>
    <w:semiHidden/>
    <w:qFormat/>
    <w:uiPriority w:val="99"/>
  </w:style>
  <w:style w:type="character" w:customStyle="1" w:styleId="6">
    <w:name w:val="UserStyle_4"/>
    <w:basedOn w:val="5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7">
    <w:name w:val="UserStyle_5"/>
    <w:basedOn w:val="5"/>
    <w:qFormat/>
    <w:uiPriority w:val="99"/>
    <w:rPr>
      <w:rFonts w:ascii="仿宋_GB2312" w:eastAsia="仿宋_GB2312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652</Characters>
  <Lines>0</Lines>
  <Paragraphs>0</Paragraphs>
  <TotalTime>16</TotalTime>
  <ScaleCrop>false</ScaleCrop>
  <LinksUpToDate>false</LinksUpToDate>
  <CharactersWithSpaces>673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2023-03-16T14:46:00Z</dcterms:created>
  <dc:creator>wxy</dc:creator>
  <cp:lastModifiedBy>任哥</cp:lastModifiedBy>
  <dcterms:modified xsi:type="dcterms:W3CDTF">2023-03-17T02:53:11Z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66C5547CE0D94E7686BF980A0F6B46EF</vt:lpwstr>
  </property>
</Properties>
</file>